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2E" w:rsidRPr="007616EC" w:rsidRDefault="0003232E" w:rsidP="007616EC">
      <w:pPr>
        <w:autoSpaceDE w:val="0"/>
        <w:autoSpaceDN w:val="0"/>
        <w:adjustRightInd w:val="0"/>
        <w:spacing w:before="320" w:after="0" w:line="240" w:lineRule="auto"/>
        <w:rPr>
          <w:rFonts w:ascii="Times New Roman" w:hAnsi="Times New Roman" w:cs="Times New Roman"/>
          <w:sz w:val="24"/>
          <w:szCs w:val="24"/>
        </w:rPr>
      </w:pPr>
      <w:r w:rsidRPr="007616EC">
        <w:rPr>
          <w:rFonts w:ascii="Times New Roman" w:hAnsi="Times New Roman" w:cs="Times New Roman"/>
          <w:b/>
          <w:bCs/>
          <w:sz w:val="24"/>
          <w:szCs w:val="24"/>
        </w:rPr>
        <w:t xml:space="preserve">CHAPTER 27 </w:t>
      </w:r>
      <w:r w:rsidRPr="007616EC">
        <w:rPr>
          <w:rFonts w:ascii="Times New Roman" w:hAnsi="Times New Roman" w:cs="Times New Roman"/>
          <w:sz w:val="24"/>
          <w:szCs w:val="24"/>
        </w:rPr>
        <w:tab/>
      </w:r>
      <w:r w:rsidRPr="007616EC">
        <w:rPr>
          <w:rFonts w:ascii="Times New Roman" w:hAnsi="Times New Roman" w:cs="Times New Roman"/>
          <w:b/>
          <w:bCs/>
          <w:i/>
          <w:iCs/>
          <w:sz w:val="24"/>
          <w:szCs w:val="24"/>
        </w:rPr>
        <w:t>Case Study: Strategic Financial Planning in Long-Term Care Neil R. Dworkin, PhD</w:t>
      </w:r>
    </w:p>
    <w:p w:rsidR="0003232E" w:rsidRPr="007616EC" w:rsidRDefault="0003232E" w:rsidP="0003232E">
      <w:pPr>
        <w:autoSpaceDE w:val="0"/>
        <w:autoSpaceDN w:val="0"/>
        <w:adjustRightInd w:val="0"/>
        <w:spacing w:before="320" w:after="0" w:line="240" w:lineRule="auto"/>
        <w:ind w:left="360"/>
        <w:rPr>
          <w:rFonts w:ascii="Times New Roman" w:hAnsi="Times New Roman" w:cs="Times New Roman"/>
          <w:sz w:val="24"/>
          <w:szCs w:val="24"/>
        </w:rPr>
      </w:pPr>
      <w:r w:rsidRPr="007616EC">
        <w:rPr>
          <w:rFonts w:ascii="Times New Roman" w:hAnsi="Times New Roman" w:cs="Times New Roman"/>
          <w:b/>
          <w:bCs/>
          <w:sz w:val="24"/>
          <w:szCs w:val="24"/>
        </w:rPr>
        <w:t>BACKGROUND</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t>John Maxwell, CEO of Seabury Nursing Center, a not-for-profit long-term care organization located in suburban Connecticut, had just emerged from a board of directors meeting. He was contemplating the instructions he had r</w:t>
      </w:r>
      <w:bookmarkStart w:id="0" w:name="_GoBack"/>
      <w:bookmarkEnd w:id="0"/>
      <w:r w:rsidRPr="007616EC">
        <w:rPr>
          <w:rFonts w:ascii="Times New Roman" w:hAnsi="Times New Roman" w:cs="Times New Roman"/>
          <w:sz w:val="24"/>
          <w:szCs w:val="24"/>
        </w:rPr>
        <w:t xml:space="preserve">eceived from the board’s executive committee to </w:t>
      </w:r>
      <w:r w:rsidRPr="007616EC">
        <w:rPr>
          <w:rFonts w:ascii="Times New Roman" w:hAnsi="Times New Roman" w:cs="Times New Roman"/>
          <w:sz w:val="24"/>
          <w:szCs w:val="24"/>
          <w:highlight w:val="yellow"/>
        </w:rPr>
        <w:t>assess the financial feasibility of adding a home care program to the Center’s array of services.</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t>Seabury’s current services consist of two levels of inpatient care, chronic care, and subacute units, and a senior citizens’ apartment complex financed in part by the Federal Department of Housing and Urban Development. In keeping with its mission, Seabury has a reputation of providing personalized, high-quality, and compassionate care across all levels of its continuum.</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t>The CEO and his executive team agreed to meet the following week to plan the next steps.</w:t>
      </w:r>
    </w:p>
    <w:p w:rsidR="0003232E" w:rsidRPr="007616EC" w:rsidRDefault="0003232E" w:rsidP="0003232E">
      <w:pPr>
        <w:autoSpaceDE w:val="0"/>
        <w:autoSpaceDN w:val="0"/>
        <w:adjustRightInd w:val="0"/>
        <w:spacing w:before="320" w:after="0" w:line="240" w:lineRule="auto"/>
        <w:ind w:left="360"/>
        <w:rPr>
          <w:rFonts w:ascii="Times New Roman" w:hAnsi="Times New Roman" w:cs="Times New Roman"/>
          <w:sz w:val="24"/>
          <w:szCs w:val="24"/>
        </w:rPr>
      </w:pPr>
      <w:r w:rsidRPr="007616EC">
        <w:rPr>
          <w:rFonts w:ascii="Times New Roman" w:hAnsi="Times New Roman" w:cs="Times New Roman"/>
          <w:b/>
          <w:bCs/>
          <w:sz w:val="24"/>
          <w:szCs w:val="24"/>
        </w:rPr>
        <w:t>FRAMEWORK OF THE BOARD’S MANDATE</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t>At its last retreat, the board made clear that, reimbursement and payment systems notwithstanding, Seabury must establish realistic and achievable financial plans that are consistent with their strategic plans. Accordingly, three points relative to integrating strategic planning and financial planning should hold sway:</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1.</w:t>
      </w:r>
      <w:r w:rsidRPr="007616EC">
        <w:rPr>
          <w:rFonts w:ascii="Times New Roman" w:hAnsi="Times New Roman" w:cs="Times New Roman"/>
          <w:sz w:val="24"/>
          <w:szCs w:val="24"/>
        </w:rPr>
        <w:tab/>
        <w:t>Both are the primary responsibility of the board</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2.</w:t>
      </w:r>
      <w:r w:rsidRPr="007616EC">
        <w:rPr>
          <w:rFonts w:ascii="Times New Roman" w:hAnsi="Times New Roman" w:cs="Times New Roman"/>
          <w:sz w:val="24"/>
          <w:szCs w:val="24"/>
        </w:rPr>
        <w:tab/>
        <w:t>Strategic planning should precede financial planning</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3.</w:t>
      </w:r>
      <w:r w:rsidRPr="007616EC">
        <w:rPr>
          <w:rFonts w:ascii="Times New Roman" w:hAnsi="Times New Roman" w:cs="Times New Roman"/>
          <w:sz w:val="24"/>
          <w:szCs w:val="24"/>
        </w:rPr>
        <w:tab/>
        <w:t>The board should play an active role in the financial planning process</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t>Ultimately, every important investment decision involves three general principles:</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1.</w:t>
      </w:r>
      <w:r w:rsidRPr="007616EC">
        <w:rPr>
          <w:rFonts w:ascii="Times New Roman" w:hAnsi="Times New Roman" w:cs="Times New Roman"/>
          <w:sz w:val="24"/>
          <w:szCs w:val="24"/>
        </w:rPr>
        <w:tab/>
        <w:t>Does it make sense financially?</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2.</w:t>
      </w:r>
      <w:r w:rsidRPr="007616EC">
        <w:rPr>
          <w:rFonts w:ascii="Times New Roman" w:hAnsi="Times New Roman" w:cs="Times New Roman"/>
          <w:sz w:val="24"/>
          <w:szCs w:val="24"/>
        </w:rPr>
        <w:tab/>
        <w:t>Does it make sense operationally?</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3.</w:t>
      </w:r>
      <w:r w:rsidRPr="007616EC">
        <w:rPr>
          <w:rFonts w:ascii="Times New Roman" w:hAnsi="Times New Roman" w:cs="Times New Roman"/>
          <w:sz w:val="24"/>
          <w:szCs w:val="24"/>
        </w:rPr>
        <w:tab/>
        <w:t>Does it make sense politically?</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t>The board’s interest in a possible home initiative was guided by these stipulations, particularly as they relate to Seabury’s growth rate in assets and profitability objectives. As a result of the financial downturn, the organization is experiencing declining inpatient volumes, a deteriorating payer mix, and a higher cost of capital, all of which have the potential to weaken its liquidity position.</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lastRenderedPageBreak/>
        <w:t>Taking the strategic service line path to a home care program would be less capital intensive and should appeal broadly to the significant baby boomer population residing in its service area, whose preference would undoubtedly be to be treated in their homes.</w:t>
      </w:r>
    </w:p>
    <w:p w:rsidR="0003232E" w:rsidRPr="007616EC" w:rsidRDefault="0003232E" w:rsidP="0003232E">
      <w:pPr>
        <w:autoSpaceDE w:val="0"/>
        <w:autoSpaceDN w:val="0"/>
        <w:adjustRightInd w:val="0"/>
        <w:spacing w:before="320" w:after="0" w:line="240" w:lineRule="auto"/>
        <w:ind w:left="360"/>
        <w:rPr>
          <w:rFonts w:ascii="Times New Roman" w:hAnsi="Times New Roman" w:cs="Times New Roman"/>
          <w:sz w:val="24"/>
          <w:szCs w:val="24"/>
        </w:rPr>
      </w:pPr>
      <w:r w:rsidRPr="007616EC">
        <w:rPr>
          <w:rFonts w:ascii="Times New Roman" w:hAnsi="Times New Roman" w:cs="Times New Roman"/>
          <w:b/>
          <w:bCs/>
          <w:sz w:val="24"/>
          <w:szCs w:val="24"/>
        </w:rPr>
        <w:t>INDUSTRY PROFILE</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t>When John Maxwell convened his executive team the following week, he had already decided to present an overview of the home health industry as gleaned by Seabury’s Planning Department. He prefaced his comments by drawing on recent research by the federal Agency for Healthcare Research and Quality that detailed why home health care in the 21st century is different from that which has existed in the past. He cited four reasons:</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1.</w:t>
      </w:r>
      <w:r w:rsidRPr="007616EC">
        <w:rPr>
          <w:rFonts w:ascii="Times New Roman" w:hAnsi="Times New Roman" w:cs="Times New Roman"/>
          <w:sz w:val="24"/>
          <w:szCs w:val="24"/>
        </w:rPr>
        <w:tab/>
        <w:t>We’re living longer and more of us want to “age in place” with dignity.</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2.</w:t>
      </w:r>
      <w:r w:rsidRPr="007616EC">
        <w:rPr>
          <w:rFonts w:ascii="Times New Roman" w:hAnsi="Times New Roman" w:cs="Times New Roman"/>
          <w:sz w:val="24"/>
          <w:szCs w:val="24"/>
        </w:rPr>
        <w:tab/>
        <w:t>We have more chronic, complex conditions.</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3.</w:t>
      </w:r>
      <w:r w:rsidRPr="007616EC">
        <w:rPr>
          <w:rFonts w:ascii="Times New Roman" w:hAnsi="Times New Roman" w:cs="Times New Roman"/>
          <w:sz w:val="24"/>
          <w:szCs w:val="24"/>
        </w:rPr>
        <w:tab/>
        <w:t>We’re leaving the hospital earlier and thus need more intensive care.</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4.</w:t>
      </w:r>
      <w:r w:rsidRPr="007616EC">
        <w:rPr>
          <w:rFonts w:ascii="Times New Roman" w:hAnsi="Times New Roman" w:cs="Times New Roman"/>
          <w:sz w:val="24"/>
          <w:szCs w:val="24"/>
        </w:rPr>
        <w:tab/>
        <w:t>Sophisticated medical technology has moved into our homes. Devices that were used only in medical offices are now in our living rooms and bedrooms. For example, home caregivers regularly manage dialysis treatments, infuse strong medications via central lines, and use computer-based equipment to monitor the health of loved ones.</w:t>
      </w:r>
      <w:r w:rsidRPr="007616EC">
        <w:rPr>
          <w:rFonts w:ascii="Times New Roman" w:hAnsi="Times New Roman" w:cs="Times New Roman"/>
          <w:color w:val="0000FF"/>
          <w:sz w:val="24"/>
          <w:szCs w:val="24"/>
          <w:u w:val="single"/>
          <w:vertAlign w:val="superscript"/>
        </w:rPr>
        <w:t>1</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t>The CEO presented a profile of national home care data as compiled by the National Association for Home Care and Hospice as follows:</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w:t>
      </w:r>
      <w:r w:rsidRPr="007616EC">
        <w:rPr>
          <w:rFonts w:ascii="Times New Roman" w:hAnsi="Times New Roman" w:cs="Times New Roman"/>
          <w:sz w:val="24"/>
          <w:szCs w:val="24"/>
        </w:rPr>
        <w:tab/>
        <w:t>Approximately 12 million people in the United States require some form of home health care.</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w:t>
      </w:r>
      <w:r w:rsidRPr="007616EC">
        <w:rPr>
          <w:rFonts w:ascii="Times New Roman" w:hAnsi="Times New Roman" w:cs="Times New Roman"/>
          <w:sz w:val="24"/>
          <w:szCs w:val="24"/>
        </w:rPr>
        <w:tab/>
        <w:t>More than 33,000 home healthcare providers exist today.</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w:t>
      </w:r>
      <w:r w:rsidRPr="007616EC">
        <w:rPr>
          <w:rFonts w:ascii="Times New Roman" w:hAnsi="Times New Roman" w:cs="Times New Roman"/>
          <w:sz w:val="24"/>
          <w:szCs w:val="24"/>
        </w:rPr>
        <w:tab/>
        <w:t>Almost two-thirds (63.8%) of home healthcare recipients are women.</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w:t>
      </w:r>
      <w:r w:rsidRPr="007616EC">
        <w:rPr>
          <w:rFonts w:ascii="Times New Roman" w:hAnsi="Times New Roman" w:cs="Times New Roman"/>
          <w:sz w:val="24"/>
          <w:szCs w:val="24"/>
        </w:rPr>
        <w:tab/>
        <w:t>More than two-thirds (69.1%) of home healthcare recipients are over age 65.</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w:t>
      </w:r>
      <w:r w:rsidRPr="007616EC">
        <w:rPr>
          <w:rFonts w:ascii="Times New Roman" w:hAnsi="Times New Roman" w:cs="Times New Roman"/>
          <w:sz w:val="24"/>
          <w:szCs w:val="24"/>
        </w:rPr>
        <w:tab/>
        <w:t>Conditions requiring home health care most frequently include diabetes, heart failure, chronic ulcer of the skin, osteoarthritis, and hypertension.</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w:t>
      </w:r>
      <w:r w:rsidRPr="007616EC">
        <w:rPr>
          <w:rFonts w:ascii="Times New Roman" w:hAnsi="Times New Roman" w:cs="Times New Roman"/>
          <w:sz w:val="24"/>
          <w:szCs w:val="24"/>
        </w:rPr>
        <w:tab/>
        <w:t>Medicare is the largest single payer of home care services. In 2009, Medicare spending was approximately 41% of the total home healthcare and hospice expenditure.</w:t>
      </w:r>
      <w:r w:rsidRPr="007616EC">
        <w:rPr>
          <w:rFonts w:ascii="Times New Roman" w:hAnsi="Times New Roman" w:cs="Times New Roman"/>
          <w:color w:val="0000FF"/>
          <w:sz w:val="24"/>
          <w:szCs w:val="24"/>
          <w:u w:val="single"/>
          <w:vertAlign w:val="superscript"/>
        </w:rPr>
        <w:t>2</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t>According to the U.S. Census Bureau, he continued, in 2010 Connecticut’s population was 3,574,097 of which 14.4% were age 65 or older.</w:t>
      </w:r>
      <w:r w:rsidRPr="007616EC">
        <w:rPr>
          <w:rFonts w:ascii="Times New Roman" w:hAnsi="Times New Roman" w:cs="Times New Roman"/>
          <w:color w:val="0000FF"/>
          <w:sz w:val="24"/>
          <w:szCs w:val="24"/>
          <w:u w:val="single"/>
          <w:vertAlign w:val="superscript"/>
        </w:rPr>
        <w:t>3</w:t>
      </w:r>
      <w:r w:rsidRPr="007616EC">
        <w:rPr>
          <w:rFonts w:ascii="Times New Roman" w:hAnsi="Times New Roman" w:cs="Times New Roman"/>
          <w:sz w:val="24"/>
          <w:szCs w:val="24"/>
        </w:rPr>
        <w:t xml:space="preserve"> A Visiting Nurse Association (VNA) analysis of revenue by payer source in the state indicated that 60% of revenue was derived from Medicare.</w:t>
      </w:r>
      <w:r w:rsidRPr="007616EC">
        <w:rPr>
          <w:rFonts w:ascii="Times New Roman" w:hAnsi="Times New Roman" w:cs="Times New Roman"/>
          <w:color w:val="0000FF"/>
          <w:sz w:val="24"/>
          <w:szCs w:val="24"/>
          <w:u w:val="single"/>
          <w:vertAlign w:val="superscript"/>
        </w:rPr>
        <w:t>4</w:t>
      </w:r>
    </w:p>
    <w:p w:rsidR="0003232E" w:rsidRPr="007616EC" w:rsidRDefault="0003232E" w:rsidP="0003232E">
      <w:pPr>
        <w:autoSpaceDE w:val="0"/>
        <w:autoSpaceDN w:val="0"/>
        <w:adjustRightInd w:val="0"/>
        <w:spacing w:before="320" w:after="0" w:line="240" w:lineRule="auto"/>
        <w:ind w:left="360"/>
        <w:rPr>
          <w:rFonts w:ascii="Times New Roman" w:hAnsi="Times New Roman" w:cs="Times New Roman"/>
          <w:sz w:val="24"/>
          <w:szCs w:val="24"/>
        </w:rPr>
      </w:pPr>
      <w:r w:rsidRPr="007616EC">
        <w:rPr>
          <w:rFonts w:ascii="Times New Roman" w:hAnsi="Times New Roman" w:cs="Times New Roman"/>
          <w:b/>
          <w:bCs/>
          <w:sz w:val="24"/>
          <w:szCs w:val="24"/>
        </w:rPr>
        <w:t>FEASIBILITY DETERMINATION</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lastRenderedPageBreak/>
        <w:t>The CEO went on to explain that the feasibility determination would be based on initially setting the home care program’s capacity at 50 clients because that was the minimum required for Certificate-of-Need (CON) approval in Connecticut. He distributed a model developed by healthcare finance expert William O. Cleverly (</w:t>
      </w:r>
      <w:r w:rsidRPr="007616EC">
        <w:rPr>
          <w:rFonts w:ascii="Times New Roman" w:hAnsi="Times New Roman" w:cs="Times New Roman"/>
          <w:b/>
          <w:bCs/>
          <w:color w:val="0000FF"/>
          <w:sz w:val="24"/>
          <w:szCs w:val="24"/>
          <w:u w:val="single"/>
        </w:rPr>
        <w:t>Figure 27–1</w:t>
      </w:r>
      <w:r w:rsidRPr="007616EC">
        <w:rPr>
          <w:rFonts w:ascii="Times New Roman" w:hAnsi="Times New Roman" w:cs="Times New Roman"/>
          <w:sz w:val="24"/>
          <w:szCs w:val="24"/>
        </w:rPr>
        <w:t xml:space="preserve">), which presents the </w:t>
      </w:r>
      <w:r w:rsidRPr="007616EC">
        <w:rPr>
          <w:rFonts w:ascii="Times New Roman" w:hAnsi="Times New Roman" w:cs="Times New Roman"/>
          <w:i/>
          <w:iCs/>
          <w:sz w:val="24"/>
          <w:szCs w:val="24"/>
        </w:rPr>
        <w:t>logic</w:t>
      </w:r>
      <w:r w:rsidRPr="007616EC">
        <w:rPr>
          <w:rFonts w:ascii="Times New Roman" w:hAnsi="Times New Roman" w:cs="Times New Roman"/>
          <w:sz w:val="24"/>
          <w:szCs w:val="24"/>
        </w:rPr>
        <w:t xml:space="preserve"> behind the integration of strategic and financial planning.</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t>In essence, he said, financial planning is influenced by the definition of programs and services in consort with the mission and goals. The next step entails financial feasibility of the proposed homecare program. Among the components that should be considered in determining financial feasibility are the following:</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w:t>
      </w:r>
      <w:r w:rsidRPr="007616EC">
        <w:rPr>
          <w:rFonts w:ascii="Times New Roman" w:hAnsi="Times New Roman" w:cs="Times New Roman"/>
          <w:sz w:val="24"/>
          <w:szCs w:val="24"/>
        </w:rPr>
        <w:tab/>
        <w:t>The configuration and cost of staff</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w:t>
      </w:r>
      <w:r w:rsidRPr="007616EC">
        <w:rPr>
          <w:rFonts w:ascii="Times New Roman" w:hAnsi="Times New Roman" w:cs="Times New Roman"/>
          <w:sz w:val="24"/>
          <w:szCs w:val="24"/>
        </w:rPr>
        <w:tab/>
        <w:t>The prevailing Medicare and Medicaid reimbursement rates</w:t>
      </w:r>
    </w:p>
    <w:p w:rsidR="0003232E" w:rsidRPr="007616EC" w:rsidRDefault="0003232E" w:rsidP="0003232E">
      <w:pPr>
        <w:autoSpaceDE w:val="0"/>
        <w:autoSpaceDN w:val="0"/>
        <w:adjustRightInd w:val="0"/>
        <w:spacing w:after="0" w:line="240" w:lineRule="auto"/>
        <w:ind w:left="720"/>
        <w:rPr>
          <w:rFonts w:ascii="Times New Roman" w:hAnsi="Times New Roman" w:cs="Times New Roman"/>
          <w:sz w:val="24"/>
          <w:szCs w:val="24"/>
        </w:rPr>
      </w:pPr>
      <w:r w:rsidRPr="007616EC">
        <w:rPr>
          <w:rFonts w:ascii="Times New Roman" w:hAnsi="Times New Roman" w:cs="Times New Roman"/>
          <w:b/>
          <w:bCs/>
          <w:sz w:val="24"/>
          <w:szCs w:val="24"/>
        </w:rPr>
        <w:t xml:space="preserve">Figure 27–1 </w:t>
      </w:r>
      <w:r w:rsidRPr="007616EC">
        <w:rPr>
          <w:rFonts w:ascii="Times New Roman" w:hAnsi="Times New Roman" w:cs="Times New Roman"/>
          <w:sz w:val="24"/>
          <w:szCs w:val="24"/>
        </w:rPr>
        <w:tab/>
        <w:t>Integration of Strategic and Financial Planning.</w:t>
      </w:r>
    </w:p>
    <w:p w:rsidR="0003232E" w:rsidRPr="007616EC" w:rsidRDefault="0003232E" w:rsidP="0003232E">
      <w:pPr>
        <w:autoSpaceDE w:val="0"/>
        <w:autoSpaceDN w:val="0"/>
        <w:adjustRightInd w:val="0"/>
        <w:spacing w:before="240" w:after="0" w:line="240" w:lineRule="auto"/>
        <w:ind w:left="720"/>
        <w:rPr>
          <w:rFonts w:ascii="Times New Roman" w:hAnsi="Times New Roman" w:cs="Times New Roman"/>
          <w:sz w:val="24"/>
          <w:szCs w:val="24"/>
        </w:rPr>
      </w:pPr>
      <w:r w:rsidRPr="007616EC">
        <w:rPr>
          <w:rFonts w:ascii="Times New Roman" w:hAnsi="Times New Roman" w:cs="Times New Roman"/>
          <w:noProof/>
          <w:sz w:val="24"/>
          <w:szCs w:val="24"/>
        </w:rPr>
        <w:lastRenderedPageBreak/>
        <w:drawing>
          <wp:inline distT="0" distB="0" distL="0" distR="0">
            <wp:extent cx="5476875" cy="894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76875" cy="8943975"/>
                    </a:xfrm>
                    <a:prstGeom prst="rect">
                      <a:avLst/>
                    </a:prstGeom>
                    <a:noFill/>
                    <a:ln>
                      <a:noFill/>
                    </a:ln>
                  </pic:spPr>
                </pic:pic>
              </a:graphicData>
            </a:graphic>
          </wp:inline>
        </w:drawing>
      </w:r>
    </w:p>
    <w:p w:rsidR="0003232E" w:rsidRPr="007616EC" w:rsidRDefault="0003232E" w:rsidP="0003232E">
      <w:pPr>
        <w:autoSpaceDE w:val="0"/>
        <w:autoSpaceDN w:val="0"/>
        <w:adjustRightInd w:val="0"/>
        <w:spacing w:before="240" w:after="0" w:line="240" w:lineRule="auto"/>
        <w:ind w:left="900"/>
        <w:rPr>
          <w:rFonts w:ascii="Times New Roman" w:hAnsi="Times New Roman" w:cs="Times New Roman"/>
          <w:sz w:val="24"/>
          <w:szCs w:val="24"/>
        </w:rPr>
      </w:pPr>
      <w:r w:rsidRPr="007616EC">
        <w:rPr>
          <w:rFonts w:ascii="Times New Roman" w:hAnsi="Times New Roman" w:cs="Times New Roman"/>
          <w:sz w:val="24"/>
          <w:szCs w:val="24"/>
        </w:rPr>
        <w:lastRenderedPageBreak/>
        <w:t xml:space="preserve">Reproduced from W.O. Cleverley, </w:t>
      </w:r>
      <w:r w:rsidRPr="007616EC">
        <w:rPr>
          <w:rFonts w:ascii="Times New Roman" w:hAnsi="Times New Roman" w:cs="Times New Roman"/>
          <w:i/>
          <w:iCs/>
          <w:sz w:val="24"/>
          <w:szCs w:val="24"/>
        </w:rPr>
        <w:t>Essentials of Health Care Finance</w:t>
      </w:r>
      <w:r w:rsidRPr="007616EC">
        <w:rPr>
          <w:rFonts w:ascii="Times New Roman" w:hAnsi="Times New Roman" w:cs="Times New Roman"/>
          <w:sz w:val="24"/>
          <w:szCs w:val="24"/>
        </w:rPr>
        <w:t>, 7th ed. (Sudbury, MA: Jones &amp; Bartlett), 289.</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w:t>
      </w:r>
      <w:r w:rsidRPr="007616EC">
        <w:rPr>
          <w:rFonts w:ascii="Times New Roman" w:hAnsi="Times New Roman" w:cs="Times New Roman"/>
          <w:sz w:val="24"/>
          <w:szCs w:val="24"/>
        </w:rPr>
        <w:tab/>
        <w:t>A projection of visit frequency by provider category based on the most prevalent clinical conditions</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w:t>
      </w:r>
      <w:r w:rsidRPr="007616EC">
        <w:rPr>
          <w:rFonts w:ascii="Times New Roman" w:hAnsi="Times New Roman" w:cs="Times New Roman"/>
          <w:sz w:val="24"/>
          <w:szCs w:val="24"/>
        </w:rPr>
        <w:tab/>
        <w:t>The physical location of the program and its attendant costs (e.g., rent, new construction)</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w:t>
      </w:r>
      <w:r w:rsidRPr="007616EC">
        <w:rPr>
          <w:rFonts w:ascii="Times New Roman" w:hAnsi="Times New Roman" w:cs="Times New Roman"/>
          <w:sz w:val="24"/>
          <w:szCs w:val="24"/>
        </w:rPr>
        <w:tab/>
        <w:t>A projection of cash flows</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t>Direct care staff associated with the home care program includes:</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w:t>
      </w:r>
      <w:r w:rsidRPr="007616EC">
        <w:rPr>
          <w:rFonts w:ascii="Times New Roman" w:hAnsi="Times New Roman" w:cs="Times New Roman"/>
          <w:sz w:val="24"/>
          <w:szCs w:val="24"/>
        </w:rPr>
        <w:tab/>
        <w:t>Medical Social Worker (MSW)</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w:t>
      </w:r>
      <w:r w:rsidRPr="007616EC">
        <w:rPr>
          <w:rFonts w:ascii="Times New Roman" w:hAnsi="Times New Roman" w:cs="Times New Roman"/>
          <w:sz w:val="24"/>
          <w:szCs w:val="24"/>
        </w:rPr>
        <w:tab/>
        <w:t>Physical Therapist (PT)</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w:t>
      </w:r>
      <w:r w:rsidRPr="007616EC">
        <w:rPr>
          <w:rFonts w:ascii="Times New Roman" w:hAnsi="Times New Roman" w:cs="Times New Roman"/>
          <w:sz w:val="24"/>
          <w:szCs w:val="24"/>
        </w:rPr>
        <w:tab/>
        <w:t>Home Health Aide (HHA)</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w:t>
      </w:r>
      <w:r w:rsidRPr="007616EC">
        <w:rPr>
          <w:rFonts w:ascii="Times New Roman" w:hAnsi="Times New Roman" w:cs="Times New Roman"/>
          <w:sz w:val="24"/>
          <w:szCs w:val="24"/>
        </w:rPr>
        <w:tab/>
        <w:t>Registered Nurse (RN)</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w:t>
      </w:r>
      <w:r w:rsidRPr="007616EC">
        <w:rPr>
          <w:rFonts w:ascii="Times New Roman" w:hAnsi="Times New Roman" w:cs="Times New Roman"/>
          <w:sz w:val="24"/>
          <w:szCs w:val="24"/>
        </w:rPr>
        <w:tab/>
        <w:t>Registered Dietitian (RD)</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t xml:space="preserve">Maxwell indicated that it would be useful to create a scenario depicting a home health visit abstract incorporating prevailing Medicare and Medicaid reimbursement rates for a 70-year-old male with heart failure and no comorbidities in order to gain traction and project potential cash flow. As previously noted, heart failure is a condition frequently requiring home healthcare services. Productivity in the home is typically based on the average number of visits per day by provider category. The visit scenario is depicted in </w:t>
      </w:r>
      <w:r w:rsidRPr="007616EC">
        <w:rPr>
          <w:rFonts w:ascii="Times New Roman" w:hAnsi="Times New Roman" w:cs="Times New Roman"/>
          <w:b/>
          <w:bCs/>
          <w:color w:val="0000FF"/>
          <w:sz w:val="24"/>
          <w:szCs w:val="24"/>
          <w:u w:val="single"/>
        </w:rPr>
        <w:t>Table 27–1</w:t>
      </w:r>
      <w:r w:rsidRPr="007616EC">
        <w:rPr>
          <w:rFonts w:ascii="Times New Roman" w:hAnsi="Times New Roman" w:cs="Times New Roman"/>
          <w:sz w:val="24"/>
          <w:szCs w:val="24"/>
        </w:rPr>
        <w:t>.</w:t>
      </w:r>
    </w:p>
    <w:p w:rsidR="0003232E" w:rsidRPr="007616EC" w:rsidRDefault="0003232E" w:rsidP="0003232E">
      <w:pPr>
        <w:autoSpaceDE w:val="0"/>
        <w:autoSpaceDN w:val="0"/>
        <w:adjustRightInd w:val="0"/>
        <w:spacing w:before="320" w:after="0" w:line="240" w:lineRule="auto"/>
        <w:ind w:left="540"/>
        <w:rPr>
          <w:rFonts w:ascii="Times New Roman" w:hAnsi="Times New Roman" w:cs="Times New Roman"/>
          <w:sz w:val="24"/>
          <w:szCs w:val="24"/>
        </w:rPr>
      </w:pPr>
      <w:r w:rsidRPr="007616EC">
        <w:rPr>
          <w:rFonts w:ascii="Times New Roman" w:hAnsi="Times New Roman" w:cs="Times New Roman"/>
          <w:b/>
          <w:bCs/>
          <w:sz w:val="24"/>
          <w:szCs w:val="24"/>
        </w:rPr>
        <w:t xml:space="preserve">Table 27–1 </w:t>
      </w:r>
      <w:r w:rsidRPr="007616EC">
        <w:rPr>
          <w:rFonts w:ascii="Times New Roman" w:hAnsi="Times New Roman" w:cs="Times New Roman"/>
          <w:sz w:val="24"/>
          <w:szCs w:val="24"/>
        </w:rPr>
        <w:tab/>
        <w:t>A Home Health Visit Scenario</w:t>
      </w:r>
    </w:p>
    <w:p w:rsidR="0003232E" w:rsidRPr="007616EC" w:rsidRDefault="00645BAD" w:rsidP="00645BAD">
      <w:pPr>
        <w:autoSpaceDE w:val="0"/>
        <w:autoSpaceDN w:val="0"/>
        <w:adjustRightInd w:val="0"/>
        <w:spacing w:before="320" w:after="0" w:line="240" w:lineRule="auto"/>
        <w:ind w:left="540"/>
        <w:rPr>
          <w:rFonts w:ascii="Times New Roman" w:hAnsi="Times New Roman" w:cs="Times New Roman"/>
          <w:sz w:val="24"/>
          <w:szCs w:val="24"/>
        </w:rPr>
      </w:pPr>
      <w:r w:rsidRPr="007616EC">
        <w:rPr>
          <w:rFonts w:ascii="Times New Roman" w:hAnsi="Times New Roman" w:cs="Times New Roman"/>
          <w:noProof/>
          <w:sz w:val="24"/>
          <w:szCs w:val="24"/>
        </w:rPr>
        <w:lastRenderedPageBreak/>
        <w:drawing>
          <wp:inline distT="0" distB="0" distL="0" distR="0">
            <wp:extent cx="5943600" cy="3803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803650"/>
                    </a:xfrm>
                    <a:prstGeom prst="rect">
                      <a:avLst/>
                    </a:prstGeom>
                  </pic:spPr>
                </pic:pic>
              </a:graphicData>
            </a:graphic>
          </wp:inline>
        </w:drawing>
      </w:r>
      <w:r w:rsidR="0003232E" w:rsidRPr="007616EC">
        <w:rPr>
          <w:rFonts w:ascii="Times New Roman" w:hAnsi="Times New Roman" w:cs="Times New Roman"/>
          <w:sz w:val="24"/>
          <w:szCs w:val="24"/>
        </w:rPr>
        <w:t> </w:t>
      </w:r>
    </w:p>
    <w:p w:rsidR="0003232E" w:rsidRPr="007616EC" w:rsidRDefault="0003232E" w:rsidP="0003232E">
      <w:pPr>
        <w:autoSpaceDE w:val="0"/>
        <w:autoSpaceDN w:val="0"/>
        <w:adjustRightInd w:val="0"/>
        <w:spacing w:after="0" w:line="240" w:lineRule="auto"/>
        <w:ind w:left="720"/>
        <w:rPr>
          <w:rFonts w:ascii="Times New Roman" w:hAnsi="Times New Roman" w:cs="Times New Roman"/>
          <w:sz w:val="24"/>
          <w:szCs w:val="24"/>
        </w:rPr>
      </w:pPr>
      <w:r w:rsidRPr="007616EC">
        <w:rPr>
          <w:rFonts w:ascii="Times New Roman" w:hAnsi="Times New Roman" w:cs="Times New Roman"/>
          <w:sz w:val="24"/>
          <w:szCs w:val="24"/>
        </w:rPr>
        <w:tab/>
        <w:t>Mc = Medicare</w:t>
      </w:r>
    </w:p>
    <w:p w:rsidR="0003232E" w:rsidRPr="007616EC" w:rsidRDefault="0003232E" w:rsidP="0003232E">
      <w:pPr>
        <w:autoSpaceDE w:val="0"/>
        <w:autoSpaceDN w:val="0"/>
        <w:adjustRightInd w:val="0"/>
        <w:spacing w:after="0" w:line="240" w:lineRule="auto"/>
        <w:ind w:left="720"/>
        <w:rPr>
          <w:rFonts w:ascii="Times New Roman" w:hAnsi="Times New Roman" w:cs="Times New Roman"/>
          <w:sz w:val="24"/>
          <w:szCs w:val="24"/>
        </w:rPr>
      </w:pPr>
      <w:r w:rsidRPr="007616EC">
        <w:rPr>
          <w:rFonts w:ascii="Times New Roman" w:hAnsi="Times New Roman" w:cs="Times New Roman"/>
          <w:sz w:val="24"/>
          <w:szCs w:val="24"/>
        </w:rPr>
        <w:tab/>
        <w:t>MA = Medicaid</w:t>
      </w:r>
    </w:p>
    <w:p w:rsidR="0003232E" w:rsidRPr="007616EC" w:rsidRDefault="0003232E" w:rsidP="0003232E">
      <w:pPr>
        <w:autoSpaceDE w:val="0"/>
        <w:autoSpaceDN w:val="0"/>
        <w:adjustRightInd w:val="0"/>
        <w:spacing w:after="0" w:line="240" w:lineRule="auto"/>
        <w:ind w:left="720"/>
        <w:rPr>
          <w:rFonts w:ascii="Times New Roman" w:hAnsi="Times New Roman" w:cs="Times New Roman"/>
          <w:sz w:val="24"/>
          <w:szCs w:val="24"/>
        </w:rPr>
      </w:pPr>
      <w:r w:rsidRPr="007616EC">
        <w:rPr>
          <w:rFonts w:ascii="Times New Roman" w:hAnsi="Times New Roman" w:cs="Times New Roman"/>
          <w:sz w:val="24"/>
          <w:szCs w:val="24"/>
        </w:rPr>
        <w:tab/>
      </w:r>
      <w:r w:rsidRPr="007616EC">
        <w:rPr>
          <w:rFonts w:ascii="Times New Roman" w:hAnsi="Times New Roman" w:cs="Times New Roman"/>
          <w:sz w:val="24"/>
          <w:szCs w:val="24"/>
          <w:vertAlign w:val="superscript"/>
        </w:rPr>
        <w:t>*</w:t>
      </w:r>
      <w:r w:rsidRPr="007616EC">
        <w:rPr>
          <w:rFonts w:ascii="Times New Roman" w:hAnsi="Times New Roman" w:cs="Times New Roman"/>
          <w:sz w:val="24"/>
          <w:szCs w:val="24"/>
        </w:rPr>
        <w:t xml:space="preserve"> 4.2 = The state′s formula for the #wks/per month</w:t>
      </w:r>
    </w:p>
    <w:p w:rsidR="0003232E" w:rsidRPr="007616EC" w:rsidRDefault="0003232E" w:rsidP="0003232E">
      <w:pPr>
        <w:autoSpaceDE w:val="0"/>
        <w:autoSpaceDN w:val="0"/>
        <w:adjustRightInd w:val="0"/>
        <w:spacing w:after="0" w:line="240" w:lineRule="auto"/>
        <w:ind w:left="720"/>
        <w:rPr>
          <w:rFonts w:ascii="Times New Roman" w:hAnsi="Times New Roman" w:cs="Times New Roman"/>
          <w:sz w:val="24"/>
          <w:szCs w:val="24"/>
        </w:rPr>
      </w:pPr>
      <w:r w:rsidRPr="007616EC">
        <w:rPr>
          <w:rFonts w:ascii="Times New Roman" w:hAnsi="Times New Roman" w:cs="Times New Roman"/>
          <w:sz w:val="24"/>
          <w:szCs w:val="24"/>
        </w:rPr>
        <w:tab/>
        <w:t>Total monthly Medicaid budget = $826.95</w:t>
      </w:r>
    </w:p>
    <w:p w:rsidR="0003232E" w:rsidRPr="007616EC" w:rsidRDefault="0003232E" w:rsidP="0003232E">
      <w:pPr>
        <w:autoSpaceDE w:val="0"/>
        <w:autoSpaceDN w:val="0"/>
        <w:adjustRightInd w:val="0"/>
        <w:spacing w:after="0" w:line="240" w:lineRule="auto"/>
        <w:ind w:left="720"/>
        <w:rPr>
          <w:rFonts w:ascii="Times New Roman" w:hAnsi="Times New Roman" w:cs="Times New Roman"/>
          <w:sz w:val="24"/>
          <w:szCs w:val="24"/>
        </w:rPr>
      </w:pPr>
      <w:r w:rsidRPr="007616EC">
        <w:rPr>
          <w:rFonts w:ascii="Times New Roman" w:hAnsi="Times New Roman" w:cs="Times New Roman"/>
          <w:sz w:val="24"/>
          <w:szCs w:val="24"/>
        </w:rPr>
        <w:tab/>
        <w:t>Total monthly Medicare budget = $2,394.21</w:t>
      </w:r>
    </w:p>
    <w:p w:rsidR="0003232E" w:rsidRPr="007616EC" w:rsidRDefault="0003232E" w:rsidP="0003232E">
      <w:pPr>
        <w:autoSpaceDE w:val="0"/>
        <w:autoSpaceDN w:val="0"/>
        <w:adjustRightInd w:val="0"/>
        <w:spacing w:after="0" w:line="240" w:lineRule="auto"/>
        <w:ind w:left="540"/>
        <w:rPr>
          <w:rFonts w:ascii="Times New Roman" w:hAnsi="Times New Roman" w:cs="Times New Roman"/>
          <w:sz w:val="24"/>
          <w:szCs w:val="24"/>
        </w:rPr>
      </w:pPr>
      <w:r w:rsidRPr="007616EC">
        <w:rPr>
          <w:rFonts w:ascii="Times New Roman" w:hAnsi="Times New Roman" w:cs="Times New Roman"/>
          <w:b/>
          <w:bCs/>
          <w:sz w:val="24"/>
          <w:szCs w:val="24"/>
        </w:rPr>
        <w:t xml:space="preserve">Figure 27–2 </w:t>
      </w:r>
      <w:r w:rsidRPr="007616EC">
        <w:rPr>
          <w:rFonts w:ascii="Times New Roman" w:hAnsi="Times New Roman" w:cs="Times New Roman"/>
          <w:sz w:val="24"/>
          <w:szCs w:val="24"/>
        </w:rPr>
        <w:tab/>
        <w:t>Seabury Nursing Center’s Home Healthcare-Related Organization Chart.</w:t>
      </w:r>
    </w:p>
    <w:p w:rsidR="0003232E" w:rsidRPr="007616EC" w:rsidRDefault="0003232E" w:rsidP="0003232E">
      <w:pPr>
        <w:autoSpaceDE w:val="0"/>
        <w:autoSpaceDN w:val="0"/>
        <w:adjustRightInd w:val="0"/>
        <w:spacing w:before="240" w:after="0" w:line="240" w:lineRule="auto"/>
        <w:ind w:left="540"/>
        <w:rPr>
          <w:rFonts w:ascii="Times New Roman" w:hAnsi="Times New Roman" w:cs="Times New Roman"/>
          <w:sz w:val="24"/>
          <w:szCs w:val="24"/>
        </w:rPr>
      </w:pPr>
      <w:r w:rsidRPr="007616EC">
        <w:rPr>
          <w:rFonts w:ascii="Times New Roman" w:hAnsi="Times New Roman" w:cs="Times New Roman"/>
          <w:noProof/>
          <w:sz w:val="24"/>
          <w:szCs w:val="24"/>
        </w:rPr>
        <w:drawing>
          <wp:inline distT="0" distB="0" distL="0" distR="0">
            <wp:extent cx="5410200" cy="2524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10200" cy="2524125"/>
                    </a:xfrm>
                    <a:prstGeom prst="rect">
                      <a:avLst/>
                    </a:prstGeom>
                    <a:noFill/>
                    <a:ln>
                      <a:noFill/>
                    </a:ln>
                  </pic:spPr>
                </pic:pic>
              </a:graphicData>
            </a:graphic>
          </wp:inline>
        </w:drawing>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t xml:space="preserve">Once the board decides to move ahead with the home care program and it is approved by the state, implementation and ongoing operations becomes a management control issue (see the </w:t>
      </w:r>
      <w:r w:rsidRPr="007616EC">
        <w:rPr>
          <w:rFonts w:ascii="Times New Roman" w:hAnsi="Times New Roman" w:cs="Times New Roman"/>
          <w:sz w:val="24"/>
          <w:szCs w:val="24"/>
        </w:rPr>
        <w:lastRenderedPageBreak/>
        <w:t xml:space="preserve">Cleverly model in </w:t>
      </w:r>
      <w:r w:rsidRPr="007616EC">
        <w:rPr>
          <w:rFonts w:ascii="Times New Roman" w:hAnsi="Times New Roman" w:cs="Times New Roman"/>
          <w:color w:val="0000FF"/>
          <w:sz w:val="24"/>
          <w:szCs w:val="24"/>
          <w:u w:val="single"/>
        </w:rPr>
        <w:t>Figure 27–1</w:t>
      </w:r>
      <w:r w:rsidRPr="007616EC">
        <w:rPr>
          <w:rFonts w:ascii="Times New Roman" w:hAnsi="Times New Roman" w:cs="Times New Roman"/>
          <w:sz w:val="24"/>
          <w:szCs w:val="24"/>
        </w:rPr>
        <w:t xml:space="preserve">). The CEO refers to a proposed table of organization as illustrated in </w:t>
      </w:r>
      <w:r w:rsidRPr="007616EC">
        <w:rPr>
          <w:rFonts w:ascii="Times New Roman" w:hAnsi="Times New Roman" w:cs="Times New Roman"/>
          <w:b/>
          <w:bCs/>
          <w:color w:val="0000FF"/>
          <w:sz w:val="24"/>
          <w:szCs w:val="24"/>
          <w:u w:val="single"/>
        </w:rPr>
        <w:t>Figure 27–2</w:t>
      </w:r>
      <w:r w:rsidRPr="007616EC">
        <w:rPr>
          <w:rFonts w:ascii="Times New Roman" w:hAnsi="Times New Roman" w:cs="Times New Roman"/>
          <w:sz w:val="24"/>
          <w:szCs w:val="24"/>
        </w:rPr>
        <w:t>.</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t>Given the paucity of other home care programs in its service area, Maxwell knows that Seabury is likely to be accorded a green light.</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t>As he and his team reflect on this, the looming question will be where will the clients come from? He knows that likely referral sources will include Seabury’s subacute inpatient population and residents from its senior citizens’ apartment complex who are</w:t>
      </w:r>
    </w:p>
    <w:p w:rsidR="0003232E" w:rsidRPr="007616EC" w:rsidRDefault="0003232E" w:rsidP="0003232E">
      <w:pPr>
        <w:autoSpaceDE w:val="0"/>
        <w:autoSpaceDN w:val="0"/>
        <w:adjustRightInd w:val="0"/>
        <w:spacing w:before="240" w:after="0" w:line="240" w:lineRule="auto"/>
        <w:ind w:left="360"/>
        <w:rPr>
          <w:rFonts w:ascii="Times New Roman" w:hAnsi="Times New Roman" w:cs="Times New Roman"/>
          <w:sz w:val="24"/>
          <w:szCs w:val="24"/>
        </w:rPr>
      </w:pPr>
      <w:r w:rsidRPr="007616EC">
        <w:rPr>
          <w:rFonts w:ascii="Times New Roman" w:hAnsi="Times New Roman" w:cs="Times New Roman"/>
          <w:sz w:val="24"/>
          <w:szCs w:val="24"/>
        </w:rPr>
        <w:t>“aging in place.” Other likely sources will be recently discharged patients from the region’s two community hospitals, both bereft of home care programs. A premium will be placed on effective case management, and direct marketing to the community will also be necessary.</w:t>
      </w:r>
    </w:p>
    <w:p w:rsidR="0003232E" w:rsidRPr="007616EC" w:rsidRDefault="0003232E" w:rsidP="0003232E">
      <w:pPr>
        <w:autoSpaceDE w:val="0"/>
        <w:autoSpaceDN w:val="0"/>
        <w:adjustRightInd w:val="0"/>
        <w:spacing w:before="320" w:after="0" w:line="240" w:lineRule="auto"/>
        <w:ind w:left="360"/>
        <w:rPr>
          <w:rFonts w:ascii="Times New Roman" w:hAnsi="Times New Roman" w:cs="Times New Roman"/>
          <w:sz w:val="24"/>
          <w:szCs w:val="24"/>
        </w:rPr>
      </w:pPr>
      <w:r w:rsidRPr="007616EC">
        <w:rPr>
          <w:rFonts w:ascii="Times New Roman" w:hAnsi="Times New Roman" w:cs="Times New Roman"/>
          <w:b/>
          <w:bCs/>
          <w:sz w:val="24"/>
          <w:szCs w:val="24"/>
        </w:rPr>
        <w:t>NOTES</w:t>
      </w:r>
    </w:p>
    <w:p w:rsidR="0003232E" w:rsidRPr="007616EC" w:rsidRDefault="0003232E" w:rsidP="0003232E">
      <w:pPr>
        <w:autoSpaceDE w:val="0"/>
        <w:autoSpaceDN w:val="0"/>
        <w:adjustRightInd w:val="0"/>
        <w:spacing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1.</w:t>
      </w:r>
      <w:r w:rsidRPr="007616EC">
        <w:rPr>
          <w:rFonts w:ascii="Times New Roman" w:hAnsi="Times New Roman" w:cs="Times New Roman"/>
          <w:sz w:val="24"/>
          <w:szCs w:val="24"/>
        </w:rPr>
        <w:tab/>
        <w:t xml:space="preserve">U.S. Department of Health and Human Services, “Human Factors Challenges in Home Health Care,” </w:t>
      </w:r>
      <w:r w:rsidRPr="007616EC">
        <w:rPr>
          <w:rFonts w:ascii="Times New Roman" w:hAnsi="Times New Roman" w:cs="Times New Roman"/>
          <w:i/>
          <w:iCs/>
          <w:sz w:val="24"/>
          <w:szCs w:val="24"/>
        </w:rPr>
        <w:t>Research Activities</w:t>
      </w:r>
      <w:r w:rsidRPr="007616EC">
        <w:rPr>
          <w:rFonts w:ascii="Times New Roman" w:hAnsi="Times New Roman" w:cs="Times New Roman"/>
          <w:sz w:val="24"/>
          <w:szCs w:val="24"/>
        </w:rPr>
        <w:t>, no. 376 (December 2011).</w:t>
      </w:r>
    </w:p>
    <w:p w:rsidR="0003232E" w:rsidRPr="007616EC" w:rsidRDefault="0003232E" w:rsidP="0003232E">
      <w:pPr>
        <w:autoSpaceDE w:val="0"/>
        <w:autoSpaceDN w:val="0"/>
        <w:adjustRightInd w:val="0"/>
        <w:spacing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2.</w:t>
      </w:r>
      <w:r w:rsidRPr="007616EC">
        <w:rPr>
          <w:rFonts w:ascii="Times New Roman" w:hAnsi="Times New Roman" w:cs="Times New Roman"/>
          <w:sz w:val="24"/>
          <w:szCs w:val="24"/>
        </w:rPr>
        <w:tab/>
        <w:t xml:space="preserve">National Association for Home Care and Hospice, </w:t>
      </w:r>
      <w:r w:rsidRPr="007616EC">
        <w:rPr>
          <w:rFonts w:ascii="Times New Roman" w:hAnsi="Times New Roman" w:cs="Times New Roman"/>
          <w:i/>
          <w:iCs/>
          <w:sz w:val="24"/>
          <w:szCs w:val="24"/>
        </w:rPr>
        <w:t>Basic Statistics about Home Care</w:t>
      </w:r>
      <w:r w:rsidRPr="007616EC">
        <w:rPr>
          <w:rFonts w:ascii="Times New Roman" w:hAnsi="Times New Roman" w:cs="Times New Roman"/>
          <w:sz w:val="24"/>
          <w:szCs w:val="24"/>
        </w:rPr>
        <w:t xml:space="preserve"> (Updated 2010).</w:t>
      </w:r>
    </w:p>
    <w:p w:rsidR="0003232E" w:rsidRPr="007616EC" w:rsidRDefault="0003232E" w:rsidP="0003232E">
      <w:pPr>
        <w:autoSpaceDE w:val="0"/>
        <w:autoSpaceDN w:val="0"/>
        <w:adjustRightInd w:val="0"/>
        <w:spacing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3.</w:t>
      </w:r>
      <w:r w:rsidRPr="007616EC">
        <w:rPr>
          <w:rFonts w:ascii="Times New Roman" w:hAnsi="Times New Roman" w:cs="Times New Roman"/>
          <w:sz w:val="24"/>
          <w:szCs w:val="24"/>
        </w:rPr>
        <w:tab/>
        <w:t xml:space="preserve">Department of Commerce, U.S. Census Bureau, </w:t>
      </w:r>
      <w:r w:rsidRPr="007616EC">
        <w:rPr>
          <w:rFonts w:ascii="Times New Roman" w:hAnsi="Times New Roman" w:cs="Times New Roman"/>
          <w:i/>
          <w:iCs/>
          <w:sz w:val="24"/>
          <w:szCs w:val="24"/>
        </w:rPr>
        <w:t>2010 Demographic Profile</w:t>
      </w:r>
      <w:r w:rsidRPr="007616EC">
        <w:rPr>
          <w:rFonts w:ascii="Times New Roman" w:hAnsi="Times New Roman" w:cs="Times New Roman"/>
          <w:sz w:val="24"/>
          <w:szCs w:val="24"/>
        </w:rPr>
        <w:t>.</w:t>
      </w:r>
    </w:p>
    <w:p w:rsidR="0003232E" w:rsidRPr="007616EC" w:rsidRDefault="0003232E" w:rsidP="0003232E">
      <w:pPr>
        <w:autoSpaceDE w:val="0"/>
        <w:autoSpaceDN w:val="0"/>
        <w:adjustRightInd w:val="0"/>
        <w:spacing w:after="0" w:line="240" w:lineRule="auto"/>
        <w:ind w:left="540"/>
        <w:rPr>
          <w:rFonts w:ascii="Times New Roman" w:hAnsi="Times New Roman" w:cs="Times New Roman"/>
          <w:sz w:val="24"/>
          <w:szCs w:val="24"/>
        </w:rPr>
      </w:pPr>
      <w:r w:rsidRPr="007616EC">
        <w:rPr>
          <w:rFonts w:ascii="Times New Roman" w:hAnsi="Times New Roman" w:cs="Times New Roman"/>
          <w:sz w:val="24"/>
          <w:szCs w:val="24"/>
        </w:rPr>
        <w:t>4.</w:t>
      </w:r>
      <w:r w:rsidRPr="007616EC">
        <w:rPr>
          <w:rFonts w:ascii="Times New Roman" w:hAnsi="Times New Roman" w:cs="Times New Roman"/>
          <w:sz w:val="24"/>
          <w:szCs w:val="24"/>
        </w:rPr>
        <w:tab/>
        <w:t xml:space="preserve">Visiting Nurse Association, </w:t>
      </w:r>
      <w:r w:rsidRPr="007616EC">
        <w:rPr>
          <w:rFonts w:ascii="Times New Roman" w:hAnsi="Times New Roman" w:cs="Times New Roman"/>
          <w:i/>
          <w:iCs/>
          <w:sz w:val="24"/>
          <w:szCs w:val="24"/>
        </w:rPr>
        <w:t>VNA Healthcare Annual Report</w:t>
      </w:r>
      <w:r w:rsidRPr="007616EC">
        <w:rPr>
          <w:rFonts w:ascii="Times New Roman" w:hAnsi="Times New Roman" w:cs="Times New Roman"/>
          <w:sz w:val="24"/>
          <w:szCs w:val="24"/>
        </w:rPr>
        <w:t xml:space="preserve"> (Hartford, CT: Hartford Healthcare, 2012).</w:t>
      </w:r>
    </w:p>
    <w:p w:rsidR="0003232E" w:rsidRPr="007616EC" w:rsidRDefault="0003232E" w:rsidP="0003232E">
      <w:pPr>
        <w:autoSpaceDE w:val="0"/>
        <w:autoSpaceDN w:val="0"/>
        <w:adjustRightInd w:val="0"/>
        <w:spacing w:after="0" w:line="240" w:lineRule="auto"/>
        <w:rPr>
          <w:rFonts w:ascii="Times New Roman" w:hAnsi="Times New Roman" w:cs="Times New Roman"/>
          <w:sz w:val="24"/>
          <w:szCs w:val="24"/>
        </w:rPr>
      </w:pPr>
      <w:r w:rsidRPr="007616EC">
        <w:rPr>
          <w:rFonts w:ascii="Times New Roman" w:hAnsi="Times New Roman" w:cs="Times New Roman"/>
          <w:sz w:val="24"/>
          <w:szCs w:val="24"/>
        </w:rPr>
        <w:t xml:space="preserve"> (Baker 387)</w:t>
      </w:r>
    </w:p>
    <w:p w:rsidR="0003232E" w:rsidRPr="007616EC" w:rsidRDefault="0003232E" w:rsidP="0003232E">
      <w:pPr>
        <w:autoSpaceDE w:val="0"/>
        <w:autoSpaceDN w:val="0"/>
        <w:adjustRightInd w:val="0"/>
        <w:spacing w:before="240" w:after="0" w:line="240" w:lineRule="auto"/>
        <w:ind w:left="720" w:hanging="720"/>
        <w:rPr>
          <w:rFonts w:ascii="Times New Roman" w:hAnsi="Times New Roman" w:cs="Times New Roman"/>
          <w:sz w:val="24"/>
          <w:szCs w:val="24"/>
        </w:rPr>
      </w:pPr>
      <w:r w:rsidRPr="007616EC">
        <w:rPr>
          <w:rFonts w:ascii="Times New Roman" w:hAnsi="Times New Roman" w:cs="Times New Roman"/>
          <w:sz w:val="24"/>
          <w:szCs w:val="24"/>
        </w:rPr>
        <w:t xml:space="preserve">Baker, Judith J. </w:t>
      </w:r>
      <w:r w:rsidRPr="007616EC">
        <w:rPr>
          <w:rFonts w:ascii="Times New Roman" w:hAnsi="Times New Roman" w:cs="Times New Roman"/>
          <w:i/>
          <w:iCs/>
          <w:sz w:val="24"/>
          <w:szCs w:val="24"/>
        </w:rPr>
        <w:t>Health Care Finance, 4th Edition</w:t>
      </w:r>
      <w:r w:rsidRPr="007616EC">
        <w:rPr>
          <w:rFonts w:ascii="Times New Roman" w:hAnsi="Times New Roman" w:cs="Times New Roman"/>
          <w:sz w:val="24"/>
          <w:szCs w:val="24"/>
        </w:rPr>
        <w:t>. Jones &amp; Bartlett Learning, 08/2013. VitalBook file.</w:t>
      </w:r>
    </w:p>
    <w:p w:rsidR="0003232E" w:rsidRPr="007616EC" w:rsidRDefault="0003232E" w:rsidP="0003232E">
      <w:pPr>
        <w:autoSpaceDE w:val="0"/>
        <w:autoSpaceDN w:val="0"/>
        <w:adjustRightInd w:val="0"/>
        <w:spacing w:before="240" w:after="0" w:line="240" w:lineRule="auto"/>
        <w:rPr>
          <w:rFonts w:ascii="Times New Roman" w:hAnsi="Times New Roman" w:cs="Times New Roman"/>
          <w:sz w:val="24"/>
          <w:szCs w:val="24"/>
        </w:rPr>
      </w:pPr>
      <w:r w:rsidRPr="007616EC">
        <w:rPr>
          <w:rFonts w:ascii="Times New Roman" w:hAnsi="Times New Roman" w:cs="Times New Roman"/>
          <w:sz w:val="24"/>
          <w:szCs w:val="24"/>
        </w:rPr>
        <w:t>The citation provided is a guideline. Please check each citation for accuracy before use.</w:t>
      </w:r>
    </w:p>
    <w:p w:rsidR="006E3520" w:rsidRPr="007616EC" w:rsidRDefault="006E3520">
      <w:pPr>
        <w:rPr>
          <w:rFonts w:ascii="Times New Roman" w:hAnsi="Times New Roman" w:cs="Times New Roman"/>
          <w:sz w:val="24"/>
          <w:szCs w:val="24"/>
        </w:rPr>
      </w:pPr>
    </w:p>
    <w:sectPr w:rsidR="006E3520" w:rsidRPr="007616EC" w:rsidSect="00086C02">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3232E"/>
    <w:rsid w:val="00003F77"/>
    <w:rsid w:val="00022934"/>
    <w:rsid w:val="00025381"/>
    <w:rsid w:val="000265CA"/>
    <w:rsid w:val="0003232E"/>
    <w:rsid w:val="00045FCB"/>
    <w:rsid w:val="00057622"/>
    <w:rsid w:val="0008346F"/>
    <w:rsid w:val="00085A81"/>
    <w:rsid w:val="00086C02"/>
    <w:rsid w:val="00092DC1"/>
    <w:rsid w:val="000A6FF1"/>
    <w:rsid w:val="000B50BF"/>
    <w:rsid w:val="000C1CFD"/>
    <w:rsid w:val="000C3AC1"/>
    <w:rsid w:val="000C584C"/>
    <w:rsid w:val="000C60A2"/>
    <w:rsid w:val="000D0FBE"/>
    <w:rsid w:val="000E24E2"/>
    <w:rsid w:val="000E26FF"/>
    <w:rsid w:val="00106DCC"/>
    <w:rsid w:val="001076AB"/>
    <w:rsid w:val="0011019C"/>
    <w:rsid w:val="00117CFD"/>
    <w:rsid w:val="00123AD6"/>
    <w:rsid w:val="001354F7"/>
    <w:rsid w:val="0013666F"/>
    <w:rsid w:val="00143788"/>
    <w:rsid w:val="00145043"/>
    <w:rsid w:val="00164284"/>
    <w:rsid w:val="00176342"/>
    <w:rsid w:val="00177F09"/>
    <w:rsid w:val="0018581A"/>
    <w:rsid w:val="00187DDD"/>
    <w:rsid w:val="001C5416"/>
    <w:rsid w:val="001D3204"/>
    <w:rsid w:val="001D5FF1"/>
    <w:rsid w:val="001E3D60"/>
    <w:rsid w:val="001E7138"/>
    <w:rsid w:val="001F1AAC"/>
    <w:rsid w:val="001F4C47"/>
    <w:rsid w:val="00201520"/>
    <w:rsid w:val="0021173E"/>
    <w:rsid w:val="002250C8"/>
    <w:rsid w:val="00232B41"/>
    <w:rsid w:val="00240391"/>
    <w:rsid w:val="00244841"/>
    <w:rsid w:val="00244E9D"/>
    <w:rsid w:val="002520D4"/>
    <w:rsid w:val="00253448"/>
    <w:rsid w:val="002574E6"/>
    <w:rsid w:val="00261055"/>
    <w:rsid w:val="0026343D"/>
    <w:rsid w:val="0026424A"/>
    <w:rsid w:val="00264705"/>
    <w:rsid w:val="002649E5"/>
    <w:rsid w:val="00292A25"/>
    <w:rsid w:val="00294DA3"/>
    <w:rsid w:val="002A6DBA"/>
    <w:rsid w:val="002E3AC5"/>
    <w:rsid w:val="002F4441"/>
    <w:rsid w:val="003009AD"/>
    <w:rsid w:val="00304652"/>
    <w:rsid w:val="00310B55"/>
    <w:rsid w:val="0031488C"/>
    <w:rsid w:val="00315113"/>
    <w:rsid w:val="003401F2"/>
    <w:rsid w:val="00341210"/>
    <w:rsid w:val="0034619D"/>
    <w:rsid w:val="00357DAA"/>
    <w:rsid w:val="00361D77"/>
    <w:rsid w:val="00364B57"/>
    <w:rsid w:val="00365724"/>
    <w:rsid w:val="00380E56"/>
    <w:rsid w:val="0038238D"/>
    <w:rsid w:val="0039419C"/>
    <w:rsid w:val="003B6C41"/>
    <w:rsid w:val="003C383E"/>
    <w:rsid w:val="003C3A53"/>
    <w:rsid w:val="003D435E"/>
    <w:rsid w:val="003E257F"/>
    <w:rsid w:val="003E6D95"/>
    <w:rsid w:val="003E6F09"/>
    <w:rsid w:val="00401766"/>
    <w:rsid w:val="004171DD"/>
    <w:rsid w:val="00420405"/>
    <w:rsid w:val="00421D6A"/>
    <w:rsid w:val="00422E4D"/>
    <w:rsid w:val="00432D42"/>
    <w:rsid w:val="004366AC"/>
    <w:rsid w:val="00450399"/>
    <w:rsid w:val="00455586"/>
    <w:rsid w:val="004557C2"/>
    <w:rsid w:val="00470BFC"/>
    <w:rsid w:val="004736EB"/>
    <w:rsid w:val="004772FE"/>
    <w:rsid w:val="00486005"/>
    <w:rsid w:val="00487B6B"/>
    <w:rsid w:val="004A11FD"/>
    <w:rsid w:val="004A3BE5"/>
    <w:rsid w:val="004A77A5"/>
    <w:rsid w:val="004B27AD"/>
    <w:rsid w:val="004F1636"/>
    <w:rsid w:val="004F4308"/>
    <w:rsid w:val="00504FDE"/>
    <w:rsid w:val="00506B77"/>
    <w:rsid w:val="005070C9"/>
    <w:rsid w:val="00511DE6"/>
    <w:rsid w:val="0051508C"/>
    <w:rsid w:val="00525549"/>
    <w:rsid w:val="005479BA"/>
    <w:rsid w:val="00550C37"/>
    <w:rsid w:val="00562F01"/>
    <w:rsid w:val="00572D95"/>
    <w:rsid w:val="00581CFB"/>
    <w:rsid w:val="00586D6F"/>
    <w:rsid w:val="00593690"/>
    <w:rsid w:val="0059442B"/>
    <w:rsid w:val="005A4BA8"/>
    <w:rsid w:val="005A71B1"/>
    <w:rsid w:val="005D3F32"/>
    <w:rsid w:val="005D6FB2"/>
    <w:rsid w:val="005E1D06"/>
    <w:rsid w:val="005E2229"/>
    <w:rsid w:val="005E2993"/>
    <w:rsid w:val="005F6C1A"/>
    <w:rsid w:val="00600AB2"/>
    <w:rsid w:val="00606490"/>
    <w:rsid w:val="00611EAD"/>
    <w:rsid w:val="00616AF2"/>
    <w:rsid w:val="00635ED4"/>
    <w:rsid w:val="0064513C"/>
    <w:rsid w:val="00645BAD"/>
    <w:rsid w:val="006514AD"/>
    <w:rsid w:val="00655253"/>
    <w:rsid w:val="00657FCD"/>
    <w:rsid w:val="00665829"/>
    <w:rsid w:val="00682950"/>
    <w:rsid w:val="00690258"/>
    <w:rsid w:val="00697855"/>
    <w:rsid w:val="006A17F9"/>
    <w:rsid w:val="006A4A23"/>
    <w:rsid w:val="006C1AE8"/>
    <w:rsid w:val="006D512C"/>
    <w:rsid w:val="006E3520"/>
    <w:rsid w:val="006F166C"/>
    <w:rsid w:val="007051F7"/>
    <w:rsid w:val="00705317"/>
    <w:rsid w:val="00714FB9"/>
    <w:rsid w:val="00724FDD"/>
    <w:rsid w:val="00730B36"/>
    <w:rsid w:val="0074173B"/>
    <w:rsid w:val="007616EC"/>
    <w:rsid w:val="00764627"/>
    <w:rsid w:val="00766EDD"/>
    <w:rsid w:val="00780098"/>
    <w:rsid w:val="007872F1"/>
    <w:rsid w:val="00791422"/>
    <w:rsid w:val="007B266B"/>
    <w:rsid w:val="007B5D32"/>
    <w:rsid w:val="007C3FD1"/>
    <w:rsid w:val="007E4BFA"/>
    <w:rsid w:val="007F2478"/>
    <w:rsid w:val="00803583"/>
    <w:rsid w:val="0080397E"/>
    <w:rsid w:val="00812B69"/>
    <w:rsid w:val="00813DCF"/>
    <w:rsid w:val="00814ADB"/>
    <w:rsid w:val="00817B5B"/>
    <w:rsid w:val="00820D1E"/>
    <w:rsid w:val="00826F3D"/>
    <w:rsid w:val="00833AB2"/>
    <w:rsid w:val="008476AD"/>
    <w:rsid w:val="00857124"/>
    <w:rsid w:val="00874F4D"/>
    <w:rsid w:val="0087574A"/>
    <w:rsid w:val="008848E9"/>
    <w:rsid w:val="008A0C00"/>
    <w:rsid w:val="008A5E81"/>
    <w:rsid w:val="008C3274"/>
    <w:rsid w:val="008E1448"/>
    <w:rsid w:val="008E2F7F"/>
    <w:rsid w:val="008E67EE"/>
    <w:rsid w:val="008F459B"/>
    <w:rsid w:val="008F787D"/>
    <w:rsid w:val="009055B5"/>
    <w:rsid w:val="0091364E"/>
    <w:rsid w:val="00913A48"/>
    <w:rsid w:val="00920A3A"/>
    <w:rsid w:val="00927763"/>
    <w:rsid w:val="0093423C"/>
    <w:rsid w:val="00955086"/>
    <w:rsid w:val="00970471"/>
    <w:rsid w:val="00973433"/>
    <w:rsid w:val="00973ECD"/>
    <w:rsid w:val="009756B6"/>
    <w:rsid w:val="009802E6"/>
    <w:rsid w:val="00993786"/>
    <w:rsid w:val="009A481F"/>
    <w:rsid w:val="009A6872"/>
    <w:rsid w:val="009A7104"/>
    <w:rsid w:val="009B7A2B"/>
    <w:rsid w:val="009D2A90"/>
    <w:rsid w:val="009D3CE7"/>
    <w:rsid w:val="009D7688"/>
    <w:rsid w:val="009D76FB"/>
    <w:rsid w:val="009E17FF"/>
    <w:rsid w:val="009F35E7"/>
    <w:rsid w:val="00A042CF"/>
    <w:rsid w:val="00A05853"/>
    <w:rsid w:val="00A17754"/>
    <w:rsid w:val="00A179B3"/>
    <w:rsid w:val="00A233C2"/>
    <w:rsid w:val="00A30F4A"/>
    <w:rsid w:val="00A31D2D"/>
    <w:rsid w:val="00A40243"/>
    <w:rsid w:val="00A45DCF"/>
    <w:rsid w:val="00A507EF"/>
    <w:rsid w:val="00A74A2A"/>
    <w:rsid w:val="00A953D3"/>
    <w:rsid w:val="00A955D7"/>
    <w:rsid w:val="00AA6FD3"/>
    <w:rsid w:val="00AC64A5"/>
    <w:rsid w:val="00AD6A24"/>
    <w:rsid w:val="00AE5E31"/>
    <w:rsid w:val="00B044D5"/>
    <w:rsid w:val="00B16F17"/>
    <w:rsid w:val="00B23794"/>
    <w:rsid w:val="00B254E6"/>
    <w:rsid w:val="00B33744"/>
    <w:rsid w:val="00B66535"/>
    <w:rsid w:val="00B743B1"/>
    <w:rsid w:val="00B7544A"/>
    <w:rsid w:val="00B85484"/>
    <w:rsid w:val="00B945C1"/>
    <w:rsid w:val="00BA0826"/>
    <w:rsid w:val="00BA1987"/>
    <w:rsid w:val="00BA245A"/>
    <w:rsid w:val="00BB146F"/>
    <w:rsid w:val="00BB2535"/>
    <w:rsid w:val="00BE734C"/>
    <w:rsid w:val="00BF616E"/>
    <w:rsid w:val="00BF7D36"/>
    <w:rsid w:val="00C0018B"/>
    <w:rsid w:val="00C02395"/>
    <w:rsid w:val="00C178D3"/>
    <w:rsid w:val="00C20E9A"/>
    <w:rsid w:val="00C33C93"/>
    <w:rsid w:val="00C36658"/>
    <w:rsid w:val="00C526DA"/>
    <w:rsid w:val="00C608AF"/>
    <w:rsid w:val="00C6488A"/>
    <w:rsid w:val="00C67500"/>
    <w:rsid w:val="00C903DC"/>
    <w:rsid w:val="00CA4F07"/>
    <w:rsid w:val="00CA7626"/>
    <w:rsid w:val="00CB251A"/>
    <w:rsid w:val="00CB53F1"/>
    <w:rsid w:val="00CD2043"/>
    <w:rsid w:val="00CD629A"/>
    <w:rsid w:val="00CE4912"/>
    <w:rsid w:val="00CE6554"/>
    <w:rsid w:val="00CF116F"/>
    <w:rsid w:val="00D00DB2"/>
    <w:rsid w:val="00D01C0D"/>
    <w:rsid w:val="00D07E41"/>
    <w:rsid w:val="00D10C1E"/>
    <w:rsid w:val="00D26687"/>
    <w:rsid w:val="00D51FD3"/>
    <w:rsid w:val="00D6200E"/>
    <w:rsid w:val="00D66F34"/>
    <w:rsid w:val="00D706E5"/>
    <w:rsid w:val="00D75490"/>
    <w:rsid w:val="00D816BE"/>
    <w:rsid w:val="00D8268C"/>
    <w:rsid w:val="00D84B62"/>
    <w:rsid w:val="00D86FEE"/>
    <w:rsid w:val="00D872F2"/>
    <w:rsid w:val="00D958CA"/>
    <w:rsid w:val="00DA78E8"/>
    <w:rsid w:val="00DB37EB"/>
    <w:rsid w:val="00DB711C"/>
    <w:rsid w:val="00DC767E"/>
    <w:rsid w:val="00DD1F62"/>
    <w:rsid w:val="00DD2749"/>
    <w:rsid w:val="00DD27A3"/>
    <w:rsid w:val="00DD5CED"/>
    <w:rsid w:val="00DF3ECF"/>
    <w:rsid w:val="00E012B8"/>
    <w:rsid w:val="00E07AFF"/>
    <w:rsid w:val="00E310F6"/>
    <w:rsid w:val="00E341CD"/>
    <w:rsid w:val="00E35117"/>
    <w:rsid w:val="00E54810"/>
    <w:rsid w:val="00E57582"/>
    <w:rsid w:val="00E6346F"/>
    <w:rsid w:val="00E63565"/>
    <w:rsid w:val="00E70273"/>
    <w:rsid w:val="00E7202D"/>
    <w:rsid w:val="00E75C02"/>
    <w:rsid w:val="00E85139"/>
    <w:rsid w:val="00EA2651"/>
    <w:rsid w:val="00EA59F0"/>
    <w:rsid w:val="00EA6B08"/>
    <w:rsid w:val="00EB048A"/>
    <w:rsid w:val="00EB698E"/>
    <w:rsid w:val="00ED7FD7"/>
    <w:rsid w:val="00EE200D"/>
    <w:rsid w:val="00EE3B2D"/>
    <w:rsid w:val="00EE3EB1"/>
    <w:rsid w:val="00EF42F0"/>
    <w:rsid w:val="00F02008"/>
    <w:rsid w:val="00F1060D"/>
    <w:rsid w:val="00F2598A"/>
    <w:rsid w:val="00F2616B"/>
    <w:rsid w:val="00F263BA"/>
    <w:rsid w:val="00F32E18"/>
    <w:rsid w:val="00F434AB"/>
    <w:rsid w:val="00F435F3"/>
    <w:rsid w:val="00F445B7"/>
    <w:rsid w:val="00F5422D"/>
    <w:rsid w:val="00F60EA4"/>
    <w:rsid w:val="00F83730"/>
    <w:rsid w:val="00F8489F"/>
    <w:rsid w:val="00F84DC6"/>
    <w:rsid w:val="00F944F3"/>
    <w:rsid w:val="00F9614E"/>
    <w:rsid w:val="00FA2C91"/>
    <w:rsid w:val="00FB2958"/>
    <w:rsid w:val="00FB6188"/>
    <w:rsid w:val="00FC5CB7"/>
    <w:rsid w:val="00FF1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2017-05-19T05:16:00Z</dcterms:created>
  <dcterms:modified xsi:type="dcterms:W3CDTF">2017-05-19T05:16:00Z</dcterms:modified>
</cp:coreProperties>
</file>